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Web"/>
        <w:overflowPunct w:val="false"/>
        <w:spacing w:lineRule="exact" w:line="440" w:before="0" w:after="280"/>
        <w:ind w:left="-360" w:right="-514" w:hanging="0"/>
        <w:jc w:val="center"/>
        <w:rPr>
          <w:rFonts w:ascii="標楷體" w:hAnsi="標楷體" w:eastAsia="標楷體" w:cs="標楷體"/>
          <w:b/>
          <w:b/>
          <w:color w:val="000000"/>
          <w:spacing w:val="20"/>
          <w:sz w:val="36"/>
          <w:szCs w:val="36"/>
        </w:rPr>
      </w:pPr>
      <w:r>
        <w:rPr>
          <w:rFonts w:ascii="標楷體" w:hAnsi="標楷體" w:cs="標楷體" w:eastAsia="標楷體"/>
          <w:b/>
          <w:color w:val="000000"/>
          <w:spacing w:val="20"/>
          <w:sz w:val="36"/>
          <w:szCs w:val="36"/>
        </w:rPr>
        <w:t>海關關務案件協談作業要點</w:t>
      </w:r>
    </w:p>
    <w:p>
      <w:pPr>
        <w:pStyle w:val="Web"/>
        <w:numPr>
          <w:ilvl w:val="0"/>
          <w:numId w:val="1"/>
        </w:numPr>
        <w:spacing w:lineRule="exact" w:line="440" w:before="280" w:after="0"/>
        <w:ind w:left="545" w:right="-514" w:hanging="902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為確認行政處分所依據之事實或法令規定，提供溝通協談平台，解決徵納雙方見解歧異及使納稅義務人或受處分人（下稱相對人）知悉法律規定，促進行政效率，進而疏減訟源，特訂定本要點。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關務案件有下列情形之一者，海關得與相對人協談：</w:t>
      </w:r>
    </w:p>
    <w:p>
      <w:pPr>
        <w:pStyle w:val="Web"/>
        <w:spacing w:lineRule="exact" w:line="440" w:before="0" w:after="0"/>
        <w:ind w:left="1308" w:right="-514" w:hanging="720"/>
        <w:jc w:val="both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一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)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審查階段中就課稅事實之認定、證據之採認或法律關係雖經調查仍不能確定，而有協談之必要。 </w:t>
      </w:r>
    </w:p>
    <w:p>
      <w:pPr>
        <w:pStyle w:val="Web"/>
        <w:spacing w:lineRule="exact" w:line="440" w:before="0" w:after="0"/>
        <w:ind w:left="1308" w:right="-514" w:hanging="720"/>
        <w:jc w:val="both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二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)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復查或經行政救濟撤銷重核案件，對課稅事實之認定、證據之採認或法律關係，徵納雙方見解歧異。 </w:t>
      </w:r>
    </w:p>
    <w:p>
      <w:pPr>
        <w:pStyle w:val="Web"/>
        <w:widowControl/>
        <w:numPr>
          <w:ilvl w:val="0"/>
          <w:numId w:val="1"/>
        </w:numPr>
        <w:bidi w:val="0"/>
        <w:spacing w:lineRule="exact" w:line="440" w:before="0" w:after="0"/>
        <w:ind w:left="510" w:right="-516" w:hanging="901"/>
        <w:rPr/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協談案件之產生方式：</w:t>
      </w:r>
    </w:p>
    <w:p>
      <w:pPr>
        <w:pStyle w:val="Web"/>
        <w:widowControl/>
        <w:numPr>
          <w:ilvl w:val="0"/>
          <w:numId w:val="0"/>
        </w:numPr>
        <w:bidi w:val="0"/>
        <w:spacing w:lineRule="exact" w:line="440" w:before="0" w:after="0"/>
        <w:ind w:left="149" w:right="-516" w:hanging="0"/>
        <w:rPr/>
      </w:pP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一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)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由案件承辦人員簽報單位主管核准。 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二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)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復查委員會之決議。 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三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)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關務長交辦案件。</w:t>
      </w:r>
    </w:p>
    <w:p>
      <w:pPr>
        <w:pStyle w:val="Web"/>
        <w:numPr>
          <w:ilvl w:val="0"/>
          <w:numId w:val="0"/>
        </w:numPr>
        <w:spacing w:lineRule="exact" w:line="440" w:before="0" w:after="0"/>
        <w:ind w:left="180" w:right="-514" w:hanging="0"/>
        <w:rPr/>
      </w:pPr>
      <w:r>
        <w:rPr>
          <w:rFonts w:ascii="標楷體" w:hAnsi="標楷體"/>
          <w:sz w:val="32"/>
          <w:szCs w:val="32"/>
        </w:rPr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四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)</w:t>
      </w:r>
      <w:r>
        <w:rPr>
          <w:rFonts w:ascii="標楷體" w:hAnsi="標楷體" w:cs="標楷體" w:eastAsia="標楷體"/>
          <w:color w:val="000000"/>
          <w:spacing w:val="20"/>
          <w:kern w:val="2"/>
          <w:sz w:val="32"/>
          <w:szCs w:val="32"/>
          <w:lang w:val="en-US" w:eastAsia="zh-TW" w:bidi="ar-SA"/>
        </w:rPr>
        <w:t>納稅者權利保護官辦理納稅者權利保護事項，認有必要者。</w:t>
      </w:r>
      <w:r>
        <w:rPr>
          <w:rFonts w:eastAsia="標楷體"/>
        </w:rPr>
        <w:t xml:space="preserve"> 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參與協談之人員：</w:t>
      </w:r>
    </w:p>
    <w:p>
      <w:pPr>
        <w:pStyle w:val="Web"/>
        <w:spacing w:lineRule="exact" w:line="440" w:before="0" w:after="0"/>
        <w:ind w:left="1308" w:right="-514" w:hanging="720"/>
        <w:jc w:val="both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一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)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海關協談人員由承辦單位指派二人以上人員擔任，但重大案件由關務長核定。 </w:t>
      </w:r>
    </w:p>
    <w:p>
      <w:pPr>
        <w:pStyle w:val="Web"/>
        <w:spacing w:lineRule="exact" w:line="440" w:before="0" w:after="0"/>
        <w:ind w:left="1308" w:right="-514" w:hanging="72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二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>)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相對人或其委託之代理人。但代理人不得超過三人，且應於協談時，提出載明授權範圍之委任書。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協談地點應於海關設置之協談室或便於交談之海關所轄處所。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案件承辦人應將協談日期、地點及協談事項於協談日三日前，以書面通知相對人。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jc w:val="both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海關協談人員進行協談前，應對案情之內容、相關法令及實務詳加瞭解，必要時並應徵詢相關單位意見。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前項人員協談時，應恪遵法令並秉持客觀、審慎之態度及公正原則，對相對人或其代理人詳予解說；對相對人有利之事實及規定，應主動提示，供其參考。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相對人或其代理人經通知未到場者，應另訂日期並通知；屆期仍未到場，視為拒絕協談。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協談案件應製作協談紀錄，載明下列事項，並由全部協談人員簽章： 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一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 xml:space="preserve">) 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協談之日期、地點及協談人員之姓名、職稱。 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二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 xml:space="preserve">) 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協談要點。 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三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 xml:space="preserve">) 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協談結果。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jc w:val="both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協談紀錄應由案件承辦關員併同原案簽報副關務長核定；如屬復查委員會決議辦理之協談案件，應將協談紀錄併案提復查委員會決議核可。 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前項經簽報核定或決議核可之協談紀錄，除有下列情形之一者外，海關應儘量遵照協談結果辦理：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一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 xml:space="preserve">) 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協談之成立以詐術或其他不正當方法作成。 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br/>
        <w:t>(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二</w:t>
      </w: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  <w:t xml:space="preserve">) </w:t>
      </w: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協談成立後，發現新事實或新證據，致影響課稅或罰鍰之增減。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jc w:val="both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 xml:space="preserve">相對人或其代理人陳述之內容雖屬合情、合理，惟囿於規定，未便採行時，應向法規主辦單位建議修正相關法令。 </w:t>
      </w:r>
    </w:p>
    <w:p>
      <w:pPr>
        <w:pStyle w:val="Web"/>
        <w:numPr>
          <w:ilvl w:val="0"/>
          <w:numId w:val="1"/>
        </w:numPr>
        <w:spacing w:lineRule="exact" w:line="440" w:before="0" w:after="0"/>
        <w:ind w:left="540" w:right="-514" w:hanging="90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ascii="標楷體" w:hAnsi="標楷體" w:cs="標楷體" w:eastAsia="標楷體"/>
          <w:color w:val="000000"/>
          <w:spacing w:val="20"/>
          <w:sz w:val="32"/>
          <w:szCs w:val="32"/>
        </w:rPr>
        <w:t>本要點之作業細節，各關得視需要訂定之。</w:t>
      </w:r>
    </w:p>
    <w:p>
      <w:pPr>
        <w:pStyle w:val="Normal"/>
        <w:spacing w:lineRule="exact" w:line="440"/>
        <w:ind w:left="-360" w:right="-514" w:hanging="0"/>
        <w:rPr>
          <w:rFonts w:ascii="標楷體" w:hAnsi="標楷體" w:eastAsia="標楷體" w:cs="標楷體"/>
          <w:color w:val="000000"/>
          <w:spacing w:val="20"/>
          <w:sz w:val="32"/>
          <w:szCs w:val="32"/>
        </w:rPr>
      </w:pPr>
      <w:r>
        <w:rPr>
          <w:rFonts w:eastAsia="標楷體" w:cs="標楷體" w:ascii="標楷體" w:hAnsi="標楷體"/>
          <w:color w:val="000000"/>
          <w:spacing w:val="20"/>
          <w:sz w:val="32"/>
          <w:szCs w:val="32"/>
        </w:rPr>
      </w:r>
    </w:p>
    <w:sectPr>
      <w:type w:val="nextPage"/>
      <w:pgSz w:w="11906" w:h="16838"/>
      <w:pgMar w:left="1417" w:right="1417" w:gutter="0" w:header="0" w:top="1440" w:footer="0" w:bottom="1077"/>
      <w:pgNumType w:fmt="decimal"/>
      <w:formProt w:val="false"/>
      <w:textDirection w:val="lrTb"/>
      <w:docGrid w:type="default" w:linePitch="38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default"/>
  </w:font>
  <w:font w:name="Liberation Sans">
    <w:altName w:val="Arial"/>
    <w:charset w:val="88"/>
    <w:family w:val="swiss"/>
    <w:pitch w:val="variable"/>
  </w:font>
  <w:font w:name="新細明體">
    <w:altName w:val="PMingLiU"/>
    <w:charset w:val="88"/>
    <w:family w:val="roman"/>
    <w:pitch w:val="variable"/>
  </w:font>
  <w:font w:name="標楷體">
    <w:charset w:val="01"/>
    <w:family w:val="script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left"/>
      <w:pPr>
        <w:tabs>
          <w:tab w:val="num" w:pos="540"/>
        </w:tabs>
        <w:ind w:left="540" w:hanging="900"/>
      </w:pPr>
      <w:rPr>
        <w:sz w:val="32"/>
        <w:spacing w:val="20"/>
        <w:szCs w:val="32"/>
        <w:rFonts w:ascii="標楷體" w:hAnsi="標楷體" w:eastAsia="標楷體" w:cs="標楷體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WW8Num1z0">
    <w:name w:val="WW8Num1z0"/>
    <w:qFormat/>
    <w:rPr>
      <w:rFonts w:ascii="標楷體" w:hAnsi="標楷體" w:eastAsia="標楷體" w:cs="標楷體"/>
      <w:spacing w:val="20"/>
      <w:sz w:val="32"/>
      <w:szCs w:val="32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Style14">
    <w:name w:val="預設段落字型"/>
    <w:qFormat/>
    <w:rPr/>
  </w:style>
  <w:style w:type="paragraph" w:styleId="Style15">
    <w:name w:val="標題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索引"/>
    <w:basedOn w:val="Normal"/>
    <w:qFormat/>
    <w:pPr>
      <w:suppressLineNumbers/>
    </w:pPr>
    <w:rPr>
      <w:rFonts w:cs="Mangal"/>
    </w:rPr>
  </w:style>
  <w:style w:type="paragraph" w:styleId="Web">
    <w:name w:val="內文 (Web)"/>
    <w:basedOn w:val="Normal"/>
    <w:qFormat/>
    <w:pPr>
      <w:widowControl/>
      <w:spacing w:before="280" w:after="280"/>
    </w:pPr>
    <w:rPr>
      <w:rFonts w:ascii="新細明體;PMingLiU" w:hAnsi="新細明體;PMingLiU" w:cs="新細明體;PMingLiU"/>
      <w:kern w:val="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MODA_ODF_Application_Tools/3.5.5.5.1$Windows_X86_64 LibreOffice_project/0731c5f9adee5daee576bb62a18f665a8d51cd0c</Application>
  <AppVersion>15.0000</AppVersion>
  <Pages>2</Pages>
  <Words>921</Words>
  <Characters>921</Characters>
  <CharactersWithSpaces>956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2014-04-12T13:30:00Z</dcterms:created>
  <dc:creator>admins</dc:creator>
  <dc:description/>
  <dc:language>zh-TW</dc:language>
  <cp:lastModifiedBy/>
  <dcterms:modified xsi:type="dcterms:W3CDTF">2026-08-25T09:12:09Z</dcterms:modified>
  <cp:revision>5</cp:revision>
  <dc:subject/>
  <dc:title>海關關務案件協談作業要點</dc:title>
</cp:coreProperties>
</file>